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2E6F" w14:textId="77777777" w:rsidR="00CB29A1" w:rsidRPr="004F02F0" w:rsidRDefault="00597F6E" w:rsidP="00597F6E">
      <w:pPr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4F02F0">
        <w:rPr>
          <w:rFonts w:ascii="ＭＳ ゴシック" w:eastAsia="ＭＳ ゴシック" w:hAnsi="ＭＳ ゴシック" w:hint="eastAsia"/>
          <w:sz w:val="22"/>
          <w:szCs w:val="22"/>
        </w:rPr>
        <w:t>■　足立区省エネルギー対策基本仕様</w:t>
      </w:r>
    </w:p>
    <w:tbl>
      <w:tblPr>
        <w:tblpPr w:leftFromText="142" w:rightFromText="142" w:vertAnchor="text" w:horzAnchor="margin" w:tblpXSpec="right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96"/>
        <w:gridCol w:w="1080"/>
        <w:gridCol w:w="1080"/>
        <w:gridCol w:w="1060"/>
      </w:tblGrid>
      <w:tr w:rsidR="00CB29A1" w:rsidRPr="00CB29A1" w14:paraId="186A5EBA" w14:textId="77777777" w:rsidTr="00534CCC">
        <w:tc>
          <w:tcPr>
            <w:tcW w:w="596" w:type="dxa"/>
            <w:vMerge w:val="restart"/>
            <w:shd w:val="clear" w:color="auto" w:fill="auto"/>
            <w:textDirection w:val="tbRlV"/>
          </w:tcPr>
          <w:p w14:paraId="4BAB40B3" w14:textId="77777777" w:rsidR="00CB29A1" w:rsidRPr="003B3EFC" w:rsidRDefault="00CB29A1" w:rsidP="00F160D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決　裁</w:t>
            </w:r>
          </w:p>
        </w:tc>
        <w:tc>
          <w:tcPr>
            <w:tcW w:w="1080" w:type="dxa"/>
            <w:shd w:val="clear" w:color="auto" w:fill="auto"/>
          </w:tcPr>
          <w:p w14:paraId="03DDEDD8" w14:textId="77777777" w:rsidR="00CB29A1" w:rsidRPr="003B3EFC" w:rsidRDefault="00CB29A1" w:rsidP="00F16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3B3EFC">
              <w:rPr>
                <w:rFonts w:ascii="ＭＳ ゴシック" w:eastAsia="ＭＳ ゴシック" w:hAnsi="ＭＳ ゴシック" w:hint="eastAsia"/>
              </w:rPr>
              <w:t>課　長</w:t>
            </w:r>
          </w:p>
        </w:tc>
        <w:tc>
          <w:tcPr>
            <w:tcW w:w="1080" w:type="dxa"/>
            <w:shd w:val="clear" w:color="auto" w:fill="auto"/>
          </w:tcPr>
          <w:p w14:paraId="73FA30A3" w14:textId="77777777" w:rsidR="00CB29A1" w:rsidRPr="003B3EFC" w:rsidRDefault="00CB29A1" w:rsidP="00F16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3B3EFC">
              <w:rPr>
                <w:rFonts w:ascii="ＭＳ ゴシック" w:eastAsia="ＭＳ ゴシック" w:hAnsi="ＭＳ ゴシック" w:hint="eastAsia"/>
              </w:rPr>
              <w:t>係　長</w:t>
            </w:r>
          </w:p>
        </w:tc>
        <w:tc>
          <w:tcPr>
            <w:tcW w:w="1060" w:type="dxa"/>
            <w:shd w:val="clear" w:color="auto" w:fill="auto"/>
          </w:tcPr>
          <w:p w14:paraId="6028CDC1" w14:textId="77777777" w:rsidR="00CB29A1" w:rsidRPr="003B3EFC" w:rsidRDefault="00CB29A1" w:rsidP="00F16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3B3EFC">
              <w:rPr>
                <w:rFonts w:ascii="ＭＳ ゴシック" w:eastAsia="ＭＳ ゴシック" w:hAnsi="ＭＳ ゴシック" w:hint="eastAsia"/>
              </w:rPr>
              <w:t>係　員</w:t>
            </w:r>
          </w:p>
        </w:tc>
      </w:tr>
      <w:tr w:rsidR="00CB29A1" w:rsidRPr="00CB29A1" w14:paraId="252A3D3A" w14:textId="77777777" w:rsidTr="003B3EFC">
        <w:trPr>
          <w:trHeight w:val="978"/>
        </w:trPr>
        <w:tc>
          <w:tcPr>
            <w:tcW w:w="596" w:type="dxa"/>
            <w:vMerge/>
            <w:shd w:val="clear" w:color="auto" w:fill="auto"/>
          </w:tcPr>
          <w:p w14:paraId="43C0B17A" w14:textId="77777777" w:rsidR="00CB29A1" w:rsidRPr="003B3EFC" w:rsidRDefault="00CB29A1" w:rsidP="00F160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658018" w14:textId="77777777" w:rsidR="00CB29A1" w:rsidRPr="003B3EFC" w:rsidRDefault="00CB29A1" w:rsidP="00F160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EFEC57" w14:textId="77777777" w:rsidR="00CB29A1" w:rsidRPr="003B3EFC" w:rsidRDefault="00CB29A1" w:rsidP="00F160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14A945C" w14:textId="77777777" w:rsidR="00CB29A1" w:rsidRPr="003B3EFC" w:rsidRDefault="00CB29A1" w:rsidP="00F160D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7BAF90" w14:textId="77777777" w:rsidR="00597F6E" w:rsidRDefault="00CB29A1" w:rsidP="00CB29A1">
      <w:pPr>
        <w:spacing w:line="240" w:lineRule="exact"/>
        <w:ind w:left="284" w:hangingChars="142" w:hanging="284"/>
        <w:rPr>
          <w:rFonts w:ascii="ＭＳ ゴシック" w:eastAsia="ＭＳ ゴシック" w:hAnsi="ＭＳ ゴシック"/>
          <w:sz w:val="20"/>
          <w:szCs w:val="20"/>
        </w:rPr>
      </w:pPr>
      <w:r w:rsidRPr="003B3EFC">
        <w:rPr>
          <w:rFonts w:ascii="ＭＳ ゴシック" w:eastAsia="ＭＳ ゴシック" w:hAnsi="ＭＳ ゴシック" w:hint="eastAsia"/>
          <w:sz w:val="20"/>
          <w:szCs w:val="20"/>
        </w:rPr>
        <w:t>・　評価は、適合に○。一部性能不足に△。適合しない場合に×。該当しないものに－を記載する。</w:t>
      </w:r>
    </w:p>
    <w:p w14:paraId="55A59BF3" w14:textId="77777777" w:rsidR="00476B88" w:rsidRDefault="00476B88" w:rsidP="00CB29A1">
      <w:pPr>
        <w:spacing w:line="240" w:lineRule="exact"/>
        <w:ind w:left="284" w:hangingChars="142" w:hanging="284"/>
        <w:rPr>
          <w:rFonts w:ascii="ＭＳ ゴシック" w:eastAsia="ＭＳ ゴシック" w:hAnsi="ＭＳ ゴシック"/>
          <w:sz w:val="20"/>
          <w:szCs w:val="20"/>
        </w:rPr>
      </w:pPr>
    </w:p>
    <w:p w14:paraId="4D5C9271" w14:textId="77777777" w:rsidR="00476B88" w:rsidRPr="00CB29A1" w:rsidRDefault="00476B88" w:rsidP="00CB29A1">
      <w:pPr>
        <w:spacing w:line="240" w:lineRule="exact"/>
        <w:ind w:left="284" w:hangingChars="142" w:hanging="28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6708"/>
        <w:gridCol w:w="988"/>
      </w:tblGrid>
      <w:tr w:rsidR="009F1C01" w:rsidRPr="006748AB" w14:paraId="770305B2" w14:textId="77777777" w:rsidTr="00476B88">
        <w:tc>
          <w:tcPr>
            <w:tcW w:w="81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0B1653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別表第３－１（</w:t>
            </w:r>
            <w:r w:rsidRPr="006748AB">
              <w:rPr>
                <w:rFonts w:ascii="ＭＳ ゴシック" w:eastAsia="ＭＳ ゴシック" w:hAnsi="ＭＳ ゴシック" w:hint="eastAsia"/>
              </w:rPr>
              <w:t>第１７条関係</w:t>
            </w: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38641245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・建築物の熱負荷低減のための断熱等の推進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21DA9AB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1C01" w:rsidRPr="006748AB" w14:paraId="2C3AAB32" w14:textId="77777777" w:rsidTr="00476B88">
        <w:trPr>
          <w:trHeight w:hRule="exact" w:val="454"/>
        </w:trPr>
        <w:tc>
          <w:tcPr>
            <w:tcW w:w="1422" w:type="dxa"/>
            <w:shd w:val="clear" w:color="auto" w:fill="auto"/>
            <w:vAlign w:val="center"/>
          </w:tcPr>
          <w:p w14:paraId="49FE722D" w14:textId="77777777" w:rsidR="009F1C01" w:rsidRPr="006748AB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16F1392" w14:textId="77777777" w:rsidR="009F1C01" w:rsidRPr="006748AB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基本仕様</w:t>
            </w:r>
          </w:p>
        </w:tc>
        <w:tc>
          <w:tcPr>
            <w:tcW w:w="992" w:type="dxa"/>
            <w:vAlign w:val="center"/>
          </w:tcPr>
          <w:p w14:paraId="5D4E9F1B" w14:textId="77777777" w:rsidR="009F1C01" w:rsidRPr="003B3EFC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</w:t>
            </w:r>
          </w:p>
        </w:tc>
      </w:tr>
      <w:tr w:rsidR="009F1C01" w:rsidRPr="006748AB" w14:paraId="381B90AC" w14:textId="77777777" w:rsidTr="00476B88">
        <w:trPr>
          <w:trHeight w:hRule="exact" w:val="1814"/>
        </w:trPr>
        <w:tc>
          <w:tcPr>
            <w:tcW w:w="1422" w:type="dxa"/>
            <w:shd w:val="clear" w:color="auto" w:fill="auto"/>
            <w:vAlign w:val="center"/>
          </w:tcPr>
          <w:p w14:paraId="61C67594" w14:textId="77777777" w:rsidR="009F1C01" w:rsidRPr="006748AB" w:rsidRDefault="009F1C01" w:rsidP="006748AB">
            <w:pPr>
              <w:spacing w:afterLines="50" w:after="180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建築物の熱負荷低減のための断熱等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599957F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屋根断熱材の厚さは、７５ｍｍ以上とする。</w:t>
            </w:r>
          </w:p>
          <w:p w14:paraId="4008DDBD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外壁断熱材の厚さは、５０ｍｍ以上とする。</w:t>
            </w:r>
          </w:p>
          <w:p w14:paraId="2F2F62C5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開口部には、複層ガラス（low-</w:t>
            </w: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ε</w:t>
            </w: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）を設定する。</w:t>
            </w:r>
          </w:p>
          <w:p w14:paraId="47ECE181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　庇（５０ｃｍ以上）やベランダを設置する。</w:t>
            </w:r>
          </w:p>
          <w:p w14:paraId="6593E5B5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　開放できる窓による通風。</w:t>
            </w:r>
          </w:p>
        </w:tc>
        <w:tc>
          <w:tcPr>
            <w:tcW w:w="992" w:type="dxa"/>
            <w:vAlign w:val="center"/>
          </w:tcPr>
          <w:p w14:paraId="75E03468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①：　</w:t>
            </w:r>
          </w:p>
          <w:p w14:paraId="354769F3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②：　</w:t>
            </w:r>
          </w:p>
          <w:p w14:paraId="0FB865F9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③：　</w:t>
            </w:r>
          </w:p>
          <w:p w14:paraId="302CBB01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④：　</w:t>
            </w:r>
          </w:p>
          <w:p w14:paraId="3F0EDC05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⑤：　</w:t>
            </w:r>
          </w:p>
        </w:tc>
      </w:tr>
      <w:tr w:rsidR="00D55DB2" w:rsidRPr="006748AB" w14:paraId="5D6C25B0" w14:textId="77777777" w:rsidTr="00476B88">
        <w:trPr>
          <w:trHeight w:hRule="exact" w:val="907"/>
        </w:trPr>
        <w:tc>
          <w:tcPr>
            <w:tcW w:w="1422" w:type="dxa"/>
            <w:shd w:val="clear" w:color="auto" w:fill="auto"/>
            <w:vAlign w:val="center"/>
          </w:tcPr>
          <w:p w14:paraId="1489DCB2" w14:textId="77777777" w:rsidR="00D55DB2" w:rsidRPr="006748AB" w:rsidRDefault="00D55DB2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  <w:tc>
          <w:tcPr>
            <w:tcW w:w="7684" w:type="dxa"/>
            <w:gridSpan w:val="2"/>
            <w:shd w:val="clear" w:color="auto" w:fill="auto"/>
            <w:vAlign w:val="center"/>
          </w:tcPr>
          <w:p w14:paraId="07E453B6" w14:textId="77777777" w:rsidR="00D55DB2" w:rsidRPr="009F1C01" w:rsidRDefault="00D55DB2" w:rsidP="001B664D">
            <w:pPr>
              <w:spacing w:line="300" w:lineRule="exact"/>
              <w:ind w:firstLineChars="90" w:firstLine="198"/>
              <w:rPr>
                <w:rFonts w:ascii="ＭＳ ゴシック" w:eastAsia="ＭＳ ゴシック" w:hAnsi="ＭＳ ゴシック"/>
                <w:color w:val="FF0000"/>
                <w:sz w:val="22"/>
                <w:szCs w:val="22"/>
                <w:shd w:val="pct15" w:color="auto" w:fill="FFFFFF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原則、当仕様により設計するものとする。なお、一部採用が困難な場合でも</w:t>
            </w:r>
            <w:r w:rsidRPr="001B66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別表第３－５における</w:t>
            </w: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区の判断基準を満たせばよい。</w:t>
            </w:r>
          </w:p>
        </w:tc>
      </w:tr>
      <w:tr w:rsidR="009F1C01" w:rsidRPr="006748AB" w14:paraId="3CDF875D" w14:textId="77777777" w:rsidTr="00476B88">
        <w:tc>
          <w:tcPr>
            <w:tcW w:w="81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EEB019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E67CC9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別表第３－２（</w:t>
            </w:r>
            <w:r w:rsidRPr="006748AB">
              <w:rPr>
                <w:rFonts w:ascii="ＭＳ ゴシック" w:eastAsia="ＭＳ ゴシック" w:hAnsi="ＭＳ ゴシック" w:hint="eastAsia"/>
              </w:rPr>
              <w:t>第１７条関係</w:t>
            </w: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004DEC5C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・設備システムの省エネルギー・高効率化を推進する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87147E2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1C01" w:rsidRPr="006748AB" w14:paraId="2F6AF63B" w14:textId="77777777" w:rsidTr="00476B88">
        <w:trPr>
          <w:trHeight w:hRule="exact" w:val="454"/>
        </w:trPr>
        <w:tc>
          <w:tcPr>
            <w:tcW w:w="1422" w:type="dxa"/>
            <w:shd w:val="clear" w:color="auto" w:fill="auto"/>
            <w:vAlign w:val="center"/>
          </w:tcPr>
          <w:p w14:paraId="6658CFFA" w14:textId="77777777" w:rsidR="009F1C01" w:rsidRPr="006748AB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782F97D0" w14:textId="77777777" w:rsidR="009F1C01" w:rsidRPr="006748AB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基本仕様</w:t>
            </w:r>
          </w:p>
        </w:tc>
        <w:tc>
          <w:tcPr>
            <w:tcW w:w="992" w:type="dxa"/>
            <w:vAlign w:val="center"/>
          </w:tcPr>
          <w:p w14:paraId="54DFF947" w14:textId="77777777" w:rsidR="009F1C01" w:rsidRPr="003B3EFC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</w:t>
            </w:r>
          </w:p>
        </w:tc>
      </w:tr>
      <w:tr w:rsidR="009F1C01" w:rsidRPr="006748AB" w14:paraId="4CA3FE08" w14:textId="77777777" w:rsidTr="00476B88">
        <w:trPr>
          <w:trHeight w:hRule="exact" w:val="2948"/>
        </w:trPr>
        <w:tc>
          <w:tcPr>
            <w:tcW w:w="1422" w:type="dxa"/>
            <w:shd w:val="clear" w:color="auto" w:fill="auto"/>
            <w:vAlign w:val="center"/>
          </w:tcPr>
          <w:p w14:paraId="3574FC51" w14:textId="77777777" w:rsidR="009F1C01" w:rsidRPr="006748AB" w:rsidRDefault="009F1C01" w:rsidP="006748AB">
            <w:pPr>
              <w:spacing w:afterLines="50" w:after="180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空調設備の高効率な機器や省エネのための制御方式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40082D2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空調設備は、空冷式パッケージエアコン（水冷式除く）又はガスヒートポンプエアコン(ＧＨＰ)とする。</w:t>
            </w:r>
          </w:p>
          <w:p w14:paraId="02A79280" w14:textId="77777777" w:rsidR="009F1C01" w:rsidRPr="00476B88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全取り入れ外気量の９０％以上に対して、熱交換効率が７０％以上の全熱交換器及びバイパス制御とする。</w:t>
            </w:r>
          </w:p>
          <w:p w14:paraId="71ABF4AA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熱源機器の効率は、全ての空調設備の冷房能力の７０％以上に対して、冷暖房平均ＣＯＰが１．２５以上とする。</w:t>
            </w:r>
          </w:p>
          <w:p w14:paraId="6CD6187E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　高効率冷却塔、高効率ポンプなど高効率設備の採用とともに、自動制御設備や中央監視設備（ＢＥＭＳ）を採用したシステムの最適化を図るよう努める。</w:t>
            </w:r>
          </w:p>
        </w:tc>
        <w:tc>
          <w:tcPr>
            <w:tcW w:w="992" w:type="dxa"/>
            <w:vAlign w:val="center"/>
          </w:tcPr>
          <w:p w14:paraId="6C76788E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①：　</w:t>
            </w:r>
          </w:p>
          <w:p w14:paraId="17FBD740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7D68E0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②：　</w:t>
            </w:r>
          </w:p>
          <w:p w14:paraId="6D2D1CCF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B71D51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③：　</w:t>
            </w:r>
          </w:p>
          <w:p w14:paraId="69ECB0D2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4866FE" w14:textId="77777777" w:rsidR="009F1C01" w:rsidRPr="003B3EFC" w:rsidRDefault="009F1C01" w:rsidP="009F1C01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④：　</w:t>
            </w:r>
          </w:p>
        </w:tc>
      </w:tr>
      <w:tr w:rsidR="009F1C01" w:rsidRPr="006748AB" w14:paraId="45FB6CE0" w14:textId="77777777" w:rsidTr="00476B88">
        <w:trPr>
          <w:trHeight w:hRule="exact" w:val="2041"/>
        </w:trPr>
        <w:tc>
          <w:tcPr>
            <w:tcW w:w="1422" w:type="dxa"/>
            <w:shd w:val="clear" w:color="auto" w:fill="auto"/>
            <w:vAlign w:val="center"/>
          </w:tcPr>
          <w:p w14:paraId="4A5557FD" w14:textId="3E61285D" w:rsidR="009F1C01" w:rsidRPr="00476B88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換気設備</w:t>
            </w:r>
            <w:r w:rsid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空調以外</w:t>
            </w:r>
            <w:r w:rsid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の高効率な機器や省エネのための制御方式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71D7201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換気用送風機の電動機は、高効率低圧三相かご形誘導電動機を２／３以上とする。</w:t>
            </w:r>
          </w:p>
          <w:p w14:paraId="4FAB7C2F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外気導入制御システム（ＣＯ</w:t>
            </w: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センサー等）や外気冷房、高効率ファンを採用し高効率化を図るよう努める。</w:t>
            </w:r>
          </w:p>
        </w:tc>
        <w:tc>
          <w:tcPr>
            <w:tcW w:w="992" w:type="dxa"/>
            <w:vAlign w:val="center"/>
          </w:tcPr>
          <w:p w14:paraId="00C7FF87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①：　</w:t>
            </w:r>
          </w:p>
          <w:p w14:paraId="5FE61F47" w14:textId="77777777" w:rsidR="00D55DB2" w:rsidRPr="003B3EFC" w:rsidRDefault="00D55DB2" w:rsidP="00D55DB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4AE337" w14:textId="77777777" w:rsidR="009F1C01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②：　</w:t>
            </w:r>
          </w:p>
        </w:tc>
      </w:tr>
      <w:tr w:rsidR="009F1C01" w:rsidRPr="006748AB" w14:paraId="11F4D3E6" w14:textId="77777777" w:rsidTr="00476B88">
        <w:trPr>
          <w:trHeight w:hRule="exact" w:val="2722"/>
        </w:trPr>
        <w:tc>
          <w:tcPr>
            <w:tcW w:w="1422" w:type="dxa"/>
            <w:shd w:val="clear" w:color="auto" w:fill="auto"/>
            <w:vAlign w:val="center"/>
          </w:tcPr>
          <w:p w14:paraId="598CBA8B" w14:textId="77777777" w:rsidR="009F1C01" w:rsidRPr="006748AB" w:rsidRDefault="009F1C01" w:rsidP="006748AB">
            <w:pPr>
              <w:spacing w:afterLines="50" w:after="180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電気設備の高効率な機器や省エネのための制御方式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6DD594A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光源の種類は、ランプの総合効率が１００ルーメン/ワット以上を採用する。</w:t>
            </w:r>
          </w:p>
          <w:p w14:paraId="74B729D8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照明設備の制御は、カード・センサー等による在室検知制御、明るさ検知による自動点滅制御、適正照度制御、タイムスケジュール制御、昼光利用照明制御、ゾーニング制御及び局所制御並びに電力監視装置のうち２種類以上を採用する。</w:t>
            </w:r>
          </w:p>
          <w:p w14:paraId="31CD4BFD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ＬＥＤ誘導灯や共用部分等にＬＥＤ照明を採用する。</w:t>
            </w:r>
          </w:p>
          <w:p w14:paraId="2BE900F4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　トップランナー変圧器を採用する。</w:t>
            </w:r>
          </w:p>
        </w:tc>
        <w:tc>
          <w:tcPr>
            <w:tcW w:w="992" w:type="dxa"/>
            <w:vAlign w:val="center"/>
          </w:tcPr>
          <w:p w14:paraId="24D65487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①：　</w:t>
            </w:r>
          </w:p>
          <w:p w14:paraId="4D75883F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8C47C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②：　</w:t>
            </w:r>
          </w:p>
          <w:p w14:paraId="52969C97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023AFF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③：　</w:t>
            </w:r>
          </w:p>
          <w:p w14:paraId="2B9E494A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6E7113" w14:textId="77777777" w:rsidR="009F1C01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④：　</w:t>
            </w:r>
          </w:p>
        </w:tc>
      </w:tr>
      <w:tr w:rsidR="009F1C01" w:rsidRPr="006748AB" w14:paraId="7DEB2A43" w14:textId="77777777" w:rsidTr="00476B88">
        <w:trPr>
          <w:trHeight w:hRule="exact" w:val="2381"/>
        </w:trPr>
        <w:tc>
          <w:tcPr>
            <w:tcW w:w="1422" w:type="dxa"/>
            <w:shd w:val="clear" w:color="auto" w:fill="auto"/>
            <w:vAlign w:val="center"/>
          </w:tcPr>
          <w:p w14:paraId="7871EAE7" w14:textId="77777777" w:rsidR="009F1C01" w:rsidRPr="006748AB" w:rsidRDefault="009F1C01" w:rsidP="006748AB">
            <w:pPr>
              <w:spacing w:afterLines="50" w:after="180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給湯設備の高効率な機器や省エネのための制御方式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54DA3A4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給湯設備の全ての配管に、管径４０ｍｍ未満の配管は保温厚３０ｍｍ以上、管径４０ｍｍから１２５ｍｍ未満の配管は保温厚４０ｍｍ以上、配管１２５ｍｍ以上の配管は保温厚５０ｍｍ以上及び全てのバルブ・フランジを保温する。</w:t>
            </w:r>
          </w:p>
          <w:p w14:paraId="4E8BB101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給湯設備の共用部分の洗面所給水栓数の８０％以上に対して、自動給水栓を採用する。</w:t>
            </w:r>
          </w:p>
          <w:p w14:paraId="601258D1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給湯設備の熱源機器の効率が９０％以上とする。</w:t>
            </w:r>
          </w:p>
        </w:tc>
        <w:tc>
          <w:tcPr>
            <w:tcW w:w="992" w:type="dxa"/>
            <w:vAlign w:val="center"/>
          </w:tcPr>
          <w:p w14:paraId="3AE62185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①：　</w:t>
            </w:r>
          </w:p>
          <w:p w14:paraId="29A0ABC2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E9ED0C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②：　</w:t>
            </w:r>
          </w:p>
          <w:p w14:paraId="1037A859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4220A5" w14:textId="77777777" w:rsidR="009F1C01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③：　</w:t>
            </w:r>
          </w:p>
        </w:tc>
      </w:tr>
      <w:tr w:rsidR="009F1C01" w:rsidRPr="006748AB" w14:paraId="3CA2E452" w14:textId="77777777" w:rsidTr="00476B88">
        <w:trPr>
          <w:trHeight w:hRule="exact" w:val="204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454DE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エレベーター設備の高効率な機器や省エネのための制御方式</w:t>
            </w:r>
          </w:p>
        </w:tc>
        <w:tc>
          <w:tcPr>
            <w:tcW w:w="6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8949F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昇降機の制御方式は、可変電圧可変周波数制御方式（電力回生制御有り）を採用する。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AA9F02" w14:textId="77777777" w:rsidR="009F1C01" w:rsidRPr="009F1C01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2"/>
                <w:shd w:val="pct15" w:color="auto" w:fill="FFFFFF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①：　</w:t>
            </w:r>
          </w:p>
        </w:tc>
      </w:tr>
      <w:tr w:rsidR="00D55DB2" w:rsidRPr="006748AB" w14:paraId="337A253D" w14:textId="77777777" w:rsidTr="00476B88">
        <w:trPr>
          <w:trHeight w:hRule="exact" w:val="1021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FA66" w14:textId="77777777" w:rsidR="00D55DB2" w:rsidRPr="006748AB" w:rsidRDefault="00D55DB2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  <w:tc>
          <w:tcPr>
            <w:tcW w:w="7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C0860" w14:textId="77777777" w:rsidR="00D55DB2" w:rsidRPr="009F1C01" w:rsidRDefault="00D55DB2" w:rsidP="001B664D">
            <w:pPr>
              <w:spacing w:line="300" w:lineRule="exact"/>
              <w:ind w:firstLineChars="90" w:firstLine="198"/>
              <w:rPr>
                <w:rFonts w:ascii="ＭＳ ゴシック" w:eastAsia="ＭＳ ゴシック" w:hAnsi="ＭＳ ゴシック"/>
                <w:color w:val="FF0000"/>
                <w:sz w:val="22"/>
                <w:szCs w:val="22"/>
                <w:shd w:val="pct15" w:color="auto" w:fill="FFFFFF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原則、当仕様により設計するものとする。なお、一部採用が困難な場合でも</w:t>
            </w:r>
            <w:r w:rsidRPr="001B66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別表第３－６における</w:t>
            </w: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区の判断基準を満たせばよい。</w:t>
            </w:r>
          </w:p>
        </w:tc>
      </w:tr>
      <w:tr w:rsidR="009F1C01" w:rsidRPr="006748AB" w14:paraId="1E942AC5" w14:textId="77777777" w:rsidTr="00476B88">
        <w:tc>
          <w:tcPr>
            <w:tcW w:w="8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3713F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4C60CA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別表第３－３（</w:t>
            </w:r>
            <w:r w:rsidRPr="006748AB">
              <w:rPr>
                <w:rFonts w:ascii="ＭＳ ゴシック" w:eastAsia="ＭＳ ゴシック" w:hAnsi="ＭＳ ゴシック" w:hint="eastAsia"/>
              </w:rPr>
              <w:t>第１７条関係</w:t>
            </w: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322A1C98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・自然エネルギーの変換利用を推進する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7CCB0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1C01" w:rsidRPr="006748AB" w14:paraId="73FF8C19" w14:textId="77777777" w:rsidTr="00476B88">
        <w:tc>
          <w:tcPr>
            <w:tcW w:w="81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398F33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C3763E0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1C01" w:rsidRPr="006748AB" w14:paraId="0CCCF02B" w14:textId="77777777" w:rsidTr="00476B88">
        <w:tc>
          <w:tcPr>
            <w:tcW w:w="1332" w:type="dxa"/>
            <w:shd w:val="clear" w:color="auto" w:fill="auto"/>
            <w:vAlign w:val="center"/>
          </w:tcPr>
          <w:p w14:paraId="2DAE8183" w14:textId="77777777" w:rsidR="009F1C01" w:rsidRPr="006748AB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6782" w:type="dxa"/>
            <w:shd w:val="clear" w:color="auto" w:fill="auto"/>
            <w:vAlign w:val="center"/>
          </w:tcPr>
          <w:p w14:paraId="1AAB3DC2" w14:textId="77777777" w:rsidR="009F1C01" w:rsidRPr="006748AB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基本仕様</w:t>
            </w:r>
          </w:p>
        </w:tc>
        <w:tc>
          <w:tcPr>
            <w:tcW w:w="992" w:type="dxa"/>
            <w:vAlign w:val="center"/>
          </w:tcPr>
          <w:p w14:paraId="366CF3AC" w14:textId="77777777" w:rsidR="009F1C01" w:rsidRPr="003B3EFC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</w:t>
            </w:r>
          </w:p>
        </w:tc>
      </w:tr>
      <w:tr w:rsidR="009F1C01" w:rsidRPr="006748AB" w14:paraId="38C1CF63" w14:textId="77777777" w:rsidTr="00476B88">
        <w:tc>
          <w:tcPr>
            <w:tcW w:w="1332" w:type="dxa"/>
            <w:shd w:val="clear" w:color="auto" w:fill="auto"/>
            <w:vAlign w:val="center"/>
          </w:tcPr>
          <w:p w14:paraId="2D265D91" w14:textId="77777777" w:rsidR="009F1C01" w:rsidRPr="006748AB" w:rsidRDefault="009F1C01" w:rsidP="006748AB">
            <w:pPr>
              <w:spacing w:afterLines="50" w:after="180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自然エネルギーの変換利用</w:t>
            </w:r>
          </w:p>
        </w:tc>
        <w:tc>
          <w:tcPr>
            <w:tcW w:w="6782" w:type="dxa"/>
            <w:shd w:val="clear" w:color="auto" w:fill="auto"/>
            <w:vAlign w:val="center"/>
          </w:tcPr>
          <w:p w14:paraId="33E04324" w14:textId="77777777" w:rsidR="009F1C01" w:rsidRPr="00941492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原則、太陽光発電設備を設置する。</w:t>
            </w:r>
          </w:p>
          <w:p w14:paraId="3D7C9026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大浴場を整備する施設など、建物用途に応じて、太陽熱利用設備の導入を検討し採用に努める。</w:t>
            </w:r>
          </w:p>
          <w:p w14:paraId="6EB2D400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３，０００㎡以上の施設は、費用対効果や建物用途に応じて、自然光採光、地中熱利用、クール・ヒートトレンチ、バイオマス利用、雨水利用等の設備を備えた再生可能エネルギーの活用を検討し採用に努める。</w:t>
            </w:r>
          </w:p>
        </w:tc>
        <w:tc>
          <w:tcPr>
            <w:tcW w:w="992" w:type="dxa"/>
            <w:vAlign w:val="center"/>
          </w:tcPr>
          <w:p w14:paraId="5D7BE7CE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①：　</w:t>
            </w:r>
          </w:p>
          <w:p w14:paraId="7578A193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DB7924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②：　</w:t>
            </w:r>
          </w:p>
          <w:p w14:paraId="11C333EC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AB900C" w14:textId="77777777" w:rsidR="009F1C01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③：　</w:t>
            </w:r>
          </w:p>
        </w:tc>
      </w:tr>
      <w:tr w:rsidR="009F1C01" w:rsidRPr="006748AB" w14:paraId="12BF5E94" w14:textId="77777777" w:rsidTr="00476B88">
        <w:tc>
          <w:tcPr>
            <w:tcW w:w="81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3DD730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753E8E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別表第３－４（</w:t>
            </w:r>
            <w:r w:rsidRPr="006748AB">
              <w:rPr>
                <w:rFonts w:ascii="ＭＳ ゴシック" w:eastAsia="ＭＳ ゴシック" w:hAnsi="ＭＳ ゴシック" w:hint="eastAsia"/>
              </w:rPr>
              <w:t>第１７条関係</w:t>
            </w: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1DED99A4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・緑化を推進する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F2BEA11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1C01" w:rsidRPr="006748AB" w14:paraId="10C7D579" w14:textId="77777777" w:rsidTr="00476B88">
        <w:tc>
          <w:tcPr>
            <w:tcW w:w="1332" w:type="dxa"/>
            <w:shd w:val="clear" w:color="auto" w:fill="auto"/>
            <w:vAlign w:val="center"/>
          </w:tcPr>
          <w:p w14:paraId="529C036B" w14:textId="77777777" w:rsidR="009F1C01" w:rsidRPr="006748AB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6782" w:type="dxa"/>
            <w:shd w:val="clear" w:color="auto" w:fill="auto"/>
            <w:vAlign w:val="center"/>
          </w:tcPr>
          <w:p w14:paraId="463C0DCA" w14:textId="77777777" w:rsidR="009F1C01" w:rsidRPr="006748AB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基本仕様</w:t>
            </w:r>
          </w:p>
        </w:tc>
        <w:tc>
          <w:tcPr>
            <w:tcW w:w="992" w:type="dxa"/>
            <w:vAlign w:val="center"/>
          </w:tcPr>
          <w:p w14:paraId="08E9EA22" w14:textId="77777777" w:rsidR="009F1C01" w:rsidRPr="003B3EFC" w:rsidRDefault="009F1C01" w:rsidP="006748A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</w:t>
            </w:r>
          </w:p>
        </w:tc>
      </w:tr>
      <w:tr w:rsidR="009F1C01" w:rsidRPr="006748AB" w14:paraId="0FFAF1B5" w14:textId="77777777" w:rsidTr="00476B88">
        <w:trPr>
          <w:trHeight w:val="631"/>
        </w:trPr>
        <w:tc>
          <w:tcPr>
            <w:tcW w:w="1332" w:type="dxa"/>
            <w:shd w:val="clear" w:color="auto" w:fill="auto"/>
            <w:vAlign w:val="center"/>
          </w:tcPr>
          <w:p w14:paraId="5D55427F" w14:textId="77777777" w:rsidR="009F1C01" w:rsidRPr="006748AB" w:rsidRDefault="009F1C01" w:rsidP="006748A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緑化の推進</w:t>
            </w:r>
          </w:p>
        </w:tc>
        <w:tc>
          <w:tcPr>
            <w:tcW w:w="6782" w:type="dxa"/>
            <w:shd w:val="clear" w:color="auto" w:fill="auto"/>
            <w:vAlign w:val="center"/>
          </w:tcPr>
          <w:p w14:paraId="2AE4DD2D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緑化を推進する。</w:t>
            </w:r>
          </w:p>
          <w:p w14:paraId="2905D56D" w14:textId="77777777" w:rsidR="009F1C01" w:rsidRPr="006748AB" w:rsidRDefault="009F1C01" w:rsidP="00476B88">
            <w:pPr>
              <w:spacing w:line="300" w:lineRule="exact"/>
              <w:ind w:leftChars="63" w:left="352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8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屋上緑化等の建築物の緑化を推進する。</w:t>
            </w:r>
          </w:p>
        </w:tc>
        <w:tc>
          <w:tcPr>
            <w:tcW w:w="992" w:type="dxa"/>
            <w:vAlign w:val="center"/>
          </w:tcPr>
          <w:p w14:paraId="5FD97469" w14:textId="77777777" w:rsidR="00D55DB2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①：　</w:t>
            </w:r>
          </w:p>
          <w:p w14:paraId="3453DABA" w14:textId="77777777" w:rsidR="009F1C01" w:rsidRPr="003B3EFC" w:rsidRDefault="00D55DB2" w:rsidP="00D55DB2">
            <w:pPr>
              <w:spacing w:line="300" w:lineRule="exact"/>
              <w:ind w:left="11" w:hangingChars="5" w:hanging="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②：　</w:t>
            </w:r>
          </w:p>
        </w:tc>
      </w:tr>
    </w:tbl>
    <w:p w14:paraId="291761F4" w14:textId="77777777" w:rsidR="00597F6E" w:rsidRPr="004F02F0" w:rsidRDefault="00597F6E" w:rsidP="00597F6E">
      <w:pPr>
        <w:spacing w:afterLines="50" w:after="180"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79FFBF3" w14:textId="77777777" w:rsidR="00476B88" w:rsidRDefault="00476B88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0115A623" w14:textId="20D6484A" w:rsidR="00597F6E" w:rsidRPr="004F02F0" w:rsidRDefault="00597F6E" w:rsidP="001B09D0">
      <w:pPr>
        <w:rPr>
          <w:rFonts w:ascii="ＭＳ ゴシック" w:eastAsia="ＭＳ ゴシック" w:hAnsi="ＭＳ ゴシック"/>
          <w:sz w:val="22"/>
          <w:szCs w:val="22"/>
        </w:rPr>
      </w:pPr>
      <w:r w:rsidRPr="004F02F0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別表第３－５（</w:t>
      </w:r>
      <w:r w:rsidRPr="004F02F0">
        <w:rPr>
          <w:rFonts w:ascii="ＭＳ ゴシック" w:eastAsia="ＭＳ ゴシック" w:hAnsi="ＭＳ ゴシック" w:hint="eastAsia"/>
        </w:rPr>
        <w:t>第１８条関係</w:t>
      </w:r>
      <w:r w:rsidRPr="004F02F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6932DAF" w14:textId="77777777" w:rsidR="00597F6E" w:rsidRDefault="00597F6E" w:rsidP="0056403E">
      <w:pPr>
        <w:rPr>
          <w:rFonts w:ascii="ＭＳ ゴシック" w:eastAsia="ＭＳ ゴシック" w:hAnsi="ＭＳ ゴシック"/>
          <w:sz w:val="22"/>
          <w:szCs w:val="22"/>
        </w:rPr>
      </w:pPr>
      <w:r w:rsidRPr="004F02F0">
        <w:rPr>
          <w:rFonts w:ascii="ＭＳ ゴシック" w:eastAsia="ＭＳ ゴシック" w:hAnsi="ＭＳ ゴシック" w:hint="eastAsia"/>
          <w:sz w:val="22"/>
          <w:szCs w:val="22"/>
        </w:rPr>
        <w:t>■　建築物の熱負荷低減のための断熱等を推進する。</w:t>
      </w:r>
    </w:p>
    <w:p w14:paraId="474C696B" w14:textId="77777777" w:rsidR="0056403E" w:rsidRPr="001B664D" w:rsidRDefault="0056403E" w:rsidP="003B3EFC">
      <w:pPr>
        <w:rPr>
          <w:rFonts w:ascii="ＭＳ ゴシック" w:eastAsia="ＭＳ ゴシック" w:hAnsi="ＭＳ ゴシック"/>
          <w:sz w:val="22"/>
          <w:szCs w:val="22"/>
        </w:rPr>
      </w:pPr>
      <w:r w:rsidRPr="003B3EFC">
        <w:rPr>
          <w:rFonts w:ascii="ＭＳ ゴシック" w:eastAsia="ＭＳ ゴシック" w:hAnsi="ＭＳ ゴシック" w:hint="eastAsia"/>
          <w:sz w:val="22"/>
          <w:szCs w:val="22"/>
        </w:rPr>
        <w:t>■　設備システムの省エネルギー・高効率化を推進する。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260"/>
        <w:gridCol w:w="992"/>
      </w:tblGrid>
      <w:tr w:rsidR="0058679D" w:rsidRPr="00A62137" w14:paraId="3E43ACB7" w14:textId="77777777" w:rsidTr="009F1C01">
        <w:trPr>
          <w:trHeight w:val="493"/>
        </w:trPr>
        <w:tc>
          <w:tcPr>
            <w:tcW w:w="4820" w:type="dxa"/>
            <w:vAlign w:val="center"/>
          </w:tcPr>
          <w:p w14:paraId="4A03A3F2" w14:textId="77777777" w:rsidR="0058679D" w:rsidRPr="00476B88" w:rsidRDefault="0058679D" w:rsidP="0058679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評価方法</w:t>
            </w:r>
          </w:p>
        </w:tc>
        <w:tc>
          <w:tcPr>
            <w:tcW w:w="3260" w:type="dxa"/>
            <w:vAlign w:val="center"/>
          </w:tcPr>
          <w:p w14:paraId="08B54A44" w14:textId="77777777" w:rsidR="0058679D" w:rsidRPr="00476B88" w:rsidRDefault="0058679D" w:rsidP="00A621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区判断基準</w:t>
            </w:r>
          </w:p>
        </w:tc>
        <w:tc>
          <w:tcPr>
            <w:tcW w:w="992" w:type="dxa"/>
            <w:vAlign w:val="center"/>
          </w:tcPr>
          <w:p w14:paraId="2DEED3E4" w14:textId="77777777" w:rsidR="0058679D" w:rsidRPr="00476B88" w:rsidRDefault="0058679D" w:rsidP="00A621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</w:t>
            </w:r>
          </w:p>
        </w:tc>
      </w:tr>
      <w:tr w:rsidR="0058679D" w:rsidRPr="00A62137" w14:paraId="42E51F01" w14:textId="77777777" w:rsidTr="009F1C01">
        <w:trPr>
          <w:trHeight w:val="1361"/>
        </w:trPr>
        <w:tc>
          <w:tcPr>
            <w:tcW w:w="4820" w:type="dxa"/>
            <w:vAlign w:val="center"/>
          </w:tcPr>
          <w:p w14:paraId="4545CEFB" w14:textId="77777777" w:rsidR="009B3F9F" w:rsidRPr="00476B88" w:rsidRDefault="0058679D" w:rsidP="005640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環境確保条例に基づく東京都建築物環境計画書制度による</w:t>
            </w:r>
            <w:r w:rsidR="009B3F9F"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評価方法</w:t>
            </w:r>
            <w:r w:rsidR="003828C3"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(区分：建築物の熱負荷の低減及び省エネルギーシステム)</w:t>
            </w:r>
          </w:p>
        </w:tc>
        <w:tc>
          <w:tcPr>
            <w:tcW w:w="3260" w:type="dxa"/>
            <w:vAlign w:val="center"/>
          </w:tcPr>
          <w:p w14:paraId="22225F9B" w14:textId="77777777" w:rsidR="009B3F9F" w:rsidRPr="00476B88" w:rsidRDefault="009B3F9F" w:rsidP="0058679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東京都建築物環境配慮指針</w:t>
            </w:r>
          </w:p>
          <w:p w14:paraId="1BBA90C8" w14:textId="77777777" w:rsidR="0058679D" w:rsidRPr="00476B88" w:rsidRDefault="009B3F9F" w:rsidP="009B3F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別表１における</w:t>
            </w:r>
            <w:r w:rsidR="0058679D"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段階３</w:t>
            </w:r>
            <w:r w:rsidRPr="00476B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とする</w:t>
            </w:r>
          </w:p>
        </w:tc>
        <w:tc>
          <w:tcPr>
            <w:tcW w:w="992" w:type="dxa"/>
            <w:vAlign w:val="center"/>
          </w:tcPr>
          <w:p w14:paraId="5F510978" w14:textId="77777777" w:rsidR="0058679D" w:rsidRPr="00476B88" w:rsidRDefault="0058679D" w:rsidP="009B3F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AE33E1B" w14:textId="77777777" w:rsidR="00A62137" w:rsidRPr="00A62137" w:rsidRDefault="00A62137" w:rsidP="00597F6E">
      <w:pPr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</w:p>
    <w:p w14:paraId="77CCD54C" w14:textId="07FEC42F" w:rsidR="00597F6E" w:rsidRPr="004F02F0" w:rsidRDefault="00597F6E" w:rsidP="001B09D0">
      <w:pPr>
        <w:rPr>
          <w:rFonts w:ascii="ＭＳ ゴシック" w:eastAsia="ＭＳ ゴシック" w:hAnsi="ＭＳ ゴシック"/>
          <w:sz w:val="22"/>
          <w:szCs w:val="22"/>
        </w:rPr>
      </w:pPr>
      <w:r w:rsidRPr="004F02F0">
        <w:rPr>
          <w:rFonts w:ascii="ＭＳ ゴシック" w:eastAsia="ＭＳ ゴシック" w:hAnsi="ＭＳ ゴシック" w:hint="eastAsia"/>
          <w:sz w:val="22"/>
          <w:szCs w:val="22"/>
        </w:rPr>
        <w:t>別表第３－</w:t>
      </w:r>
      <w:r w:rsidR="0056403E" w:rsidRPr="00476B88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4F02F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476B88">
        <w:rPr>
          <w:rFonts w:ascii="ＭＳ ゴシック" w:eastAsia="ＭＳ ゴシック" w:hAnsi="ＭＳ ゴシック" w:hint="eastAsia"/>
          <w:sz w:val="22"/>
          <w:szCs w:val="22"/>
        </w:rPr>
        <w:t>第１８条関係</w:t>
      </w:r>
      <w:r w:rsidRPr="004F02F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81FCBDC" w14:textId="77777777" w:rsidR="00597F6E" w:rsidRPr="004F02F0" w:rsidRDefault="00597F6E" w:rsidP="001B09D0">
      <w:pPr>
        <w:rPr>
          <w:rFonts w:ascii="ＭＳ ゴシック" w:eastAsia="ＭＳ ゴシック" w:hAnsi="ＭＳ ゴシック"/>
          <w:sz w:val="22"/>
          <w:szCs w:val="22"/>
        </w:rPr>
      </w:pPr>
      <w:r w:rsidRPr="004F02F0">
        <w:rPr>
          <w:rFonts w:ascii="ＭＳ ゴシック" w:eastAsia="ＭＳ ゴシック" w:hAnsi="ＭＳ ゴシック" w:hint="eastAsia"/>
          <w:sz w:val="22"/>
          <w:szCs w:val="22"/>
        </w:rPr>
        <w:t>■　自然エネルギーの変換利用を推進する。</w:t>
      </w:r>
    </w:p>
    <w:tbl>
      <w:tblPr>
        <w:tblpPr w:leftFromText="142" w:rightFromText="142" w:vertAnchor="text" w:horzAnchor="margin" w:tblpX="211" w:tblpY="202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980"/>
        <w:gridCol w:w="5309"/>
        <w:gridCol w:w="992"/>
      </w:tblGrid>
      <w:tr w:rsidR="00D55DB2" w:rsidRPr="004F02F0" w14:paraId="7ECF1165" w14:textId="77777777" w:rsidTr="001B09D0">
        <w:trPr>
          <w:trHeight w:val="537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46DC6527" w14:textId="77777777" w:rsidR="00D55DB2" w:rsidRPr="004F02F0" w:rsidRDefault="00D55DB2" w:rsidP="001B09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2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評価方法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vAlign w:val="center"/>
          </w:tcPr>
          <w:p w14:paraId="102165C8" w14:textId="77777777" w:rsidR="00D55DB2" w:rsidRPr="004F02F0" w:rsidRDefault="00D55DB2" w:rsidP="001B09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2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判断基準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4A709C" w14:textId="77777777" w:rsidR="00D55DB2" w:rsidRPr="004F02F0" w:rsidRDefault="00D55DB2" w:rsidP="001B09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1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</w:t>
            </w:r>
          </w:p>
        </w:tc>
      </w:tr>
      <w:tr w:rsidR="00D55DB2" w:rsidRPr="004F02F0" w14:paraId="370CE7BE" w14:textId="77777777" w:rsidTr="001B09D0">
        <w:trPr>
          <w:trHeight w:hRule="exact" w:val="1701"/>
        </w:trPr>
        <w:tc>
          <w:tcPr>
            <w:tcW w:w="715" w:type="dxa"/>
            <w:vAlign w:val="center"/>
          </w:tcPr>
          <w:p w14:paraId="68DB524A" w14:textId="77777777" w:rsidR="00D55DB2" w:rsidRPr="004F02F0" w:rsidRDefault="00D55DB2" w:rsidP="001B09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2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仕様基準</w:t>
            </w:r>
          </w:p>
        </w:tc>
        <w:tc>
          <w:tcPr>
            <w:tcW w:w="1980" w:type="dxa"/>
            <w:vAlign w:val="center"/>
          </w:tcPr>
          <w:p w14:paraId="40F0D1CD" w14:textId="77777777" w:rsidR="00D55DB2" w:rsidRPr="004F02F0" w:rsidRDefault="00D55DB2" w:rsidP="001B09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2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全ての建築物に適用する</w:t>
            </w:r>
          </w:p>
        </w:tc>
        <w:tc>
          <w:tcPr>
            <w:tcW w:w="5309" w:type="dxa"/>
            <w:vAlign w:val="center"/>
          </w:tcPr>
          <w:p w14:paraId="71AD750B" w14:textId="77777777" w:rsidR="00D55DB2" w:rsidRPr="004F02F0" w:rsidRDefault="00D55DB2" w:rsidP="001B09D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6E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太陽光発電設備は、施設の立地条件や用途、費用対効果などを総合的に勘案し、可能な範囲で設置するものとする。（設置容量は１０ｋＷ以上を標準とする。）</w:t>
            </w:r>
          </w:p>
        </w:tc>
        <w:tc>
          <w:tcPr>
            <w:tcW w:w="992" w:type="dxa"/>
            <w:vAlign w:val="center"/>
          </w:tcPr>
          <w:p w14:paraId="26702374" w14:textId="77777777" w:rsidR="00D55DB2" w:rsidRPr="00206EBB" w:rsidRDefault="00D55DB2" w:rsidP="001B09D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5232C42" w14:textId="77777777" w:rsidR="00597F6E" w:rsidRDefault="00206EBB" w:rsidP="00597F6E">
      <w:pPr>
        <w:rPr>
          <w:rFonts w:ascii="ＭＳ ゴシック" w:eastAsia="ＭＳ ゴシック" w:hAnsi="ＭＳ ゴシック"/>
          <w:sz w:val="22"/>
          <w:szCs w:val="22"/>
        </w:rPr>
      </w:pPr>
      <w:r w:rsidRPr="00206EBB">
        <w:rPr>
          <w:rFonts w:ascii="ＭＳ ゴシック" w:eastAsia="ＭＳ ゴシック" w:hAnsi="ＭＳ ゴシック" w:hint="eastAsia"/>
          <w:sz w:val="22"/>
          <w:szCs w:val="22"/>
        </w:rPr>
        <w:t>＊検討においては、「再エネ設備導入検討マニュアル(東京都)」を参考とすること。</w:t>
      </w:r>
    </w:p>
    <w:p w14:paraId="3165975A" w14:textId="77777777" w:rsidR="00206EBB" w:rsidRPr="00206EBB" w:rsidRDefault="00206EBB" w:rsidP="00597F6E">
      <w:pPr>
        <w:rPr>
          <w:rFonts w:ascii="ＭＳ ゴシック" w:eastAsia="ＭＳ ゴシック" w:hAnsi="ＭＳ ゴシック"/>
          <w:sz w:val="22"/>
          <w:szCs w:val="22"/>
        </w:rPr>
      </w:pPr>
    </w:p>
    <w:p w14:paraId="216C1417" w14:textId="53B8F52C" w:rsidR="00597F6E" w:rsidRPr="004F02F0" w:rsidRDefault="00597F6E" w:rsidP="001B09D0">
      <w:pPr>
        <w:rPr>
          <w:rFonts w:ascii="ＭＳ ゴシック" w:eastAsia="ＭＳ ゴシック" w:hAnsi="ＭＳ ゴシック"/>
          <w:sz w:val="22"/>
          <w:szCs w:val="22"/>
        </w:rPr>
      </w:pPr>
      <w:r w:rsidRPr="004F02F0">
        <w:rPr>
          <w:rFonts w:ascii="ＭＳ ゴシック" w:eastAsia="ＭＳ ゴシック" w:hAnsi="ＭＳ ゴシック" w:hint="eastAsia"/>
          <w:sz w:val="22"/>
          <w:szCs w:val="22"/>
        </w:rPr>
        <w:t>別表第３－</w:t>
      </w:r>
      <w:r w:rsidR="0056403E" w:rsidRPr="00476B88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4F02F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476B88">
        <w:rPr>
          <w:rFonts w:ascii="ＭＳ ゴシック" w:eastAsia="ＭＳ ゴシック" w:hAnsi="ＭＳ ゴシック" w:hint="eastAsia"/>
          <w:sz w:val="22"/>
          <w:szCs w:val="22"/>
        </w:rPr>
        <w:t>第１８条関係</w:t>
      </w:r>
      <w:r w:rsidRPr="004F02F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A4B7944" w14:textId="77777777" w:rsidR="00597F6E" w:rsidRPr="004F02F0" w:rsidRDefault="00597F6E" w:rsidP="001B09D0">
      <w:pPr>
        <w:rPr>
          <w:rFonts w:ascii="ＭＳ ゴシック" w:eastAsia="ＭＳ ゴシック" w:hAnsi="ＭＳ ゴシック"/>
          <w:sz w:val="22"/>
          <w:szCs w:val="22"/>
        </w:rPr>
      </w:pPr>
      <w:r w:rsidRPr="004F02F0">
        <w:rPr>
          <w:rFonts w:ascii="ＭＳ ゴシック" w:eastAsia="ＭＳ ゴシック" w:hAnsi="ＭＳ ゴシック" w:hint="eastAsia"/>
          <w:sz w:val="22"/>
          <w:szCs w:val="22"/>
        </w:rPr>
        <w:t>■　緑化を推進する。</w:t>
      </w:r>
    </w:p>
    <w:tbl>
      <w:tblPr>
        <w:tblW w:w="903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980"/>
        <w:gridCol w:w="5342"/>
        <w:gridCol w:w="992"/>
      </w:tblGrid>
      <w:tr w:rsidR="00FF622D" w:rsidRPr="004F02F0" w14:paraId="1207B69C" w14:textId="77777777" w:rsidTr="001B09D0">
        <w:trPr>
          <w:trHeight w:val="593"/>
        </w:trPr>
        <w:tc>
          <w:tcPr>
            <w:tcW w:w="2700" w:type="dxa"/>
            <w:gridSpan w:val="2"/>
            <w:vAlign w:val="center"/>
          </w:tcPr>
          <w:p w14:paraId="4C780769" w14:textId="77777777" w:rsidR="00FF622D" w:rsidRPr="004F02F0" w:rsidRDefault="00FF622D" w:rsidP="00FF62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2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評価方法</w:t>
            </w:r>
          </w:p>
        </w:tc>
        <w:tc>
          <w:tcPr>
            <w:tcW w:w="5342" w:type="dxa"/>
            <w:vAlign w:val="center"/>
          </w:tcPr>
          <w:p w14:paraId="33C11B97" w14:textId="77777777" w:rsidR="00FF622D" w:rsidRPr="004F02F0" w:rsidRDefault="00C534AC" w:rsidP="00FF62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FF622D" w:rsidRPr="004F02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判断基準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4C3E89" w14:textId="77777777" w:rsidR="00FF622D" w:rsidRPr="004F02F0" w:rsidRDefault="00FF622D" w:rsidP="00FF62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1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</w:t>
            </w:r>
          </w:p>
        </w:tc>
      </w:tr>
      <w:tr w:rsidR="00FF622D" w:rsidRPr="004F02F0" w14:paraId="6C5D5565" w14:textId="77777777" w:rsidTr="001B09D0">
        <w:trPr>
          <w:trHeight w:hRule="exact" w:val="1928"/>
        </w:trPr>
        <w:tc>
          <w:tcPr>
            <w:tcW w:w="720" w:type="dxa"/>
            <w:vAlign w:val="center"/>
          </w:tcPr>
          <w:p w14:paraId="4CF531EC" w14:textId="77777777" w:rsidR="00FF622D" w:rsidRPr="004F02F0" w:rsidRDefault="00FF622D" w:rsidP="003136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2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仕様基準</w:t>
            </w:r>
          </w:p>
        </w:tc>
        <w:tc>
          <w:tcPr>
            <w:tcW w:w="1980" w:type="dxa"/>
            <w:vAlign w:val="center"/>
          </w:tcPr>
          <w:p w14:paraId="75890DDD" w14:textId="77777777" w:rsidR="00FF622D" w:rsidRPr="004F02F0" w:rsidRDefault="00FF622D" w:rsidP="003136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2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全ての建築物に適用する</w:t>
            </w:r>
          </w:p>
        </w:tc>
        <w:tc>
          <w:tcPr>
            <w:tcW w:w="5342" w:type="dxa"/>
            <w:vAlign w:val="center"/>
          </w:tcPr>
          <w:p w14:paraId="25E5BD0A" w14:textId="77777777" w:rsidR="00FF622D" w:rsidRPr="004F02F0" w:rsidRDefault="00FF622D" w:rsidP="003136F4">
            <w:pPr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12852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・</w:t>
            </w:r>
            <w:r w:rsidRPr="00012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Pr="00012852">
              <w:rPr>
                <w:rFonts w:ascii="ＭＳ ゴシック" w:eastAsia="ＭＳ ゴシック" w:hAnsi="ＭＳ ゴシック"/>
                <w:sz w:val="22"/>
                <w:szCs w:val="22"/>
              </w:rPr>
              <w:t>足立区緑の保護育成条例</w:t>
            </w:r>
            <w:r w:rsidRPr="00012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」及び「同</w:t>
            </w:r>
            <w:r w:rsidRPr="00012852">
              <w:rPr>
                <w:rFonts w:ascii="ＭＳ ゴシック" w:eastAsia="ＭＳ ゴシック" w:hAnsi="ＭＳ ゴシック"/>
                <w:sz w:val="22"/>
                <w:szCs w:val="22"/>
              </w:rPr>
              <w:t>施行規則</w:t>
            </w:r>
            <w:r w:rsidRPr="00012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」に基づく</w:t>
            </w:r>
            <w:r w:rsidRPr="004F02F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緑化基準を遵守し、緑化基準を上回る緑化を推進する。</w:t>
            </w:r>
          </w:p>
          <w:p w14:paraId="7991F5E1" w14:textId="77777777" w:rsidR="00FF622D" w:rsidRPr="004F02F0" w:rsidRDefault="00FF622D" w:rsidP="001B09D0">
            <w:pPr>
              <w:ind w:left="251" w:hangingChars="114" w:hanging="25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2F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・屋上緑化等の建築物の緑化を検討しできる限り実施する。</w:t>
            </w:r>
          </w:p>
        </w:tc>
        <w:tc>
          <w:tcPr>
            <w:tcW w:w="992" w:type="dxa"/>
            <w:vAlign w:val="center"/>
          </w:tcPr>
          <w:p w14:paraId="6F92C35A" w14:textId="77777777" w:rsidR="00FF622D" w:rsidRPr="00012852" w:rsidRDefault="00FF622D" w:rsidP="003136F4">
            <w:pPr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6CEDCA62" w14:textId="30E3295D" w:rsidR="00ED1B72" w:rsidRDefault="00ED1B72" w:rsidP="000D28C0">
      <w:pPr>
        <w:spacing w:afterLines="50" w:after="18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D1B72" w:rsidSect="000D28C0">
      <w:footerReference w:type="default" r:id="rId8"/>
      <w:pgSz w:w="11906" w:h="16838"/>
      <w:pgMar w:top="1260" w:right="1286" w:bottom="1080" w:left="1620" w:header="851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29C3" w14:textId="77777777" w:rsidR="003A6F74" w:rsidRDefault="003A6F74">
      <w:r>
        <w:separator/>
      </w:r>
    </w:p>
  </w:endnote>
  <w:endnote w:type="continuationSeparator" w:id="0">
    <w:p w14:paraId="03003519" w14:textId="77777777" w:rsidR="003A6F74" w:rsidRDefault="003A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4293" w14:textId="77777777" w:rsidR="00882427" w:rsidRPr="00C030AD" w:rsidRDefault="00882427" w:rsidP="003136F4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D28C0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EA0E5" w14:textId="77777777" w:rsidR="003A6F74" w:rsidRDefault="003A6F74">
      <w:r>
        <w:separator/>
      </w:r>
    </w:p>
  </w:footnote>
  <w:footnote w:type="continuationSeparator" w:id="0">
    <w:p w14:paraId="2A737223" w14:textId="77777777" w:rsidR="003A6F74" w:rsidRDefault="003A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480"/>
    <w:multiLevelType w:val="hybridMultilevel"/>
    <w:tmpl w:val="314E0970"/>
    <w:lvl w:ilvl="0" w:tplc="AFF03C22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E22083"/>
    <w:multiLevelType w:val="hybridMultilevel"/>
    <w:tmpl w:val="2920F33E"/>
    <w:lvl w:ilvl="0" w:tplc="445CCECE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22002"/>
    <w:multiLevelType w:val="hybridMultilevel"/>
    <w:tmpl w:val="0124065E"/>
    <w:lvl w:ilvl="0" w:tplc="BBEE258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26C97"/>
    <w:multiLevelType w:val="hybridMultilevel"/>
    <w:tmpl w:val="2906534C"/>
    <w:lvl w:ilvl="0" w:tplc="32C403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042CC1"/>
    <w:multiLevelType w:val="hybridMultilevel"/>
    <w:tmpl w:val="51E41D0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C2F327A"/>
    <w:multiLevelType w:val="hybridMultilevel"/>
    <w:tmpl w:val="0A26D162"/>
    <w:lvl w:ilvl="0" w:tplc="614C3EDC">
      <w:start w:val="2"/>
      <w:numFmt w:val="decimalEnclosedCircle"/>
      <w:lvlText w:val="%1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6" w15:restartNumberingAfterBreak="0">
    <w:nsid w:val="66257341"/>
    <w:multiLevelType w:val="hybridMultilevel"/>
    <w:tmpl w:val="6D1C30F2"/>
    <w:lvl w:ilvl="0" w:tplc="1DB624D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4313BB2"/>
    <w:multiLevelType w:val="hybridMultilevel"/>
    <w:tmpl w:val="C8AC021E"/>
    <w:lvl w:ilvl="0" w:tplc="6978B6AE">
      <w:start w:val="2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9C29C8"/>
    <w:multiLevelType w:val="hybridMultilevel"/>
    <w:tmpl w:val="7CA8A5FA"/>
    <w:lvl w:ilvl="0" w:tplc="D256CA2C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05"/>
    <w:rsid w:val="00001CF4"/>
    <w:rsid w:val="00007D46"/>
    <w:rsid w:val="00011E1E"/>
    <w:rsid w:val="00013812"/>
    <w:rsid w:val="00031F15"/>
    <w:rsid w:val="00034CB5"/>
    <w:rsid w:val="00035475"/>
    <w:rsid w:val="00036135"/>
    <w:rsid w:val="0004784F"/>
    <w:rsid w:val="000700B9"/>
    <w:rsid w:val="0007011D"/>
    <w:rsid w:val="000738DB"/>
    <w:rsid w:val="00080A6E"/>
    <w:rsid w:val="000C2876"/>
    <w:rsid w:val="000D17CF"/>
    <w:rsid w:val="000D28C0"/>
    <w:rsid w:val="000D508C"/>
    <w:rsid w:val="000E296B"/>
    <w:rsid w:val="000E7190"/>
    <w:rsid w:val="000F0854"/>
    <w:rsid w:val="000F7C5E"/>
    <w:rsid w:val="000F7CE8"/>
    <w:rsid w:val="00104906"/>
    <w:rsid w:val="001059D9"/>
    <w:rsid w:val="00113088"/>
    <w:rsid w:val="001260D0"/>
    <w:rsid w:val="00126C0F"/>
    <w:rsid w:val="00151364"/>
    <w:rsid w:val="00152625"/>
    <w:rsid w:val="00153F68"/>
    <w:rsid w:val="001600F2"/>
    <w:rsid w:val="0016027F"/>
    <w:rsid w:val="0017065D"/>
    <w:rsid w:val="00177A1F"/>
    <w:rsid w:val="00186A7B"/>
    <w:rsid w:val="00193452"/>
    <w:rsid w:val="0019637F"/>
    <w:rsid w:val="001B09D0"/>
    <w:rsid w:val="001B663F"/>
    <w:rsid w:val="001B664D"/>
    <w:rsid w:val="001E221A"/>
    <w:rsid w:val="001E30A5"/>
    <w:rsid w:val="001F6661"/>
    <w:rsid w:val="001F6D00"/>
    <w:rsid w:val="00204CB1"/>
    <w:rsid w:val="00206EBB"/>
    <w:rsid w:val="00207105"/>
    <w:rsid w:val="00226DB9"/>
    <w:rsid w:val="0023208F"/>
    <w:rsid w:val="00232DCA"/>
    <w:rsid w:val="0025473C"/>
    <w:rsid w:val="0026672C"/>
    <w:rsid w:val="0027156D"/>
    <w:rsid w:val="00277143"/>
    <w:rsid w:val="002819F0"/>
    <w:rsid w:val="002835F3"/>
    <w:rsid w:val="00284DAC"/>
    <w:rsid w:val="002B53CB"/>
    <w:rsid w:val="002C4050"/>
    <w:rsid w:val="002F31B8"/>
    <w:rsid w:val="002F54E1"/>
    <w:rsid w:val="002F5F75"/>
    <w:rsid w:val="002F6518"/>
    <w:rsid w:val="002F668B"/>
    <w:rsid w:val="003136F4"/>
    <w:rsid w:val="00332F68"/>
    <w:rsid w:val="003441D7"/>
    <w:rsid w:val="00347371"/>
    <w:rsid w:val="003641D2"/>
    <w:rsid w:val="00366F56"/>
    <w:rsid w:val="00372FC5"/>
    <w:rsid w:val="003828C3"/>
    <w:rsid w:val="00391921"/>
    <w:rsid w:val="00393CD7"/>
    <w:rsid w:val="003A6F74"/>
    <w:rsid w:val="003B354B"/>
    <w:rsid w:val="003B3EFC"/>
    <w:rsid w:val="003B6A01"/>
    <w:rsid w:val="003C3672"/>
    <w:rsid w:val="003C421B"/>
    <w:rsid w:val="003F40D3"/>
    <w:rsid w:val="003F6FB5"/>
    <w:rsid w:val="004027AC"/>
    <w:rsid w:val="00402D23"/>
    <w:rsid w:val="00411251"/>
    <w:rsid w:val="00422385"/>
    <w:rsid w:val="00424766"/>
    <w:rsid w:val="0043598F"/>
    <w:rsid w:val="00440A40"/>
    <w:rsid w:val="004568CA"/>
    <w:rsid w:val="004620F5"/>
    <w:rsid w:val="00476A69"/>
    <w:rsid w:val="00476B88"/>
    <w:rsid w:val="00484D3A"/>
    <w:rsid w:val="00485E3D"/>
    <w:rsid w:val="004874A0"/>
    <w:rsid w:val="0049100A"/>
    <w:rsid w:val="004950C3"/>
    <w:rsid w:val="004B137F"/>
    <w:rsid w:val="004B28C8"/>
    <w:rsid w:val="004B4E39"/>
    <w:rsid w:val="004B5C01"/>
    <w:rsid w:val="004D5248"/>
    <w:rsid w:val="004E2407"/>
    <w:rsid w:val="004E5360"/>
    <w:rsid w:val="004F50BA"/>
    <w:rsid w:val="00514B7C"/>
    <w:rsid w:val="005213AB"/>
    <w:rsid w:val="00525209"/>
    <w:rsid w:val="0052616F"/>
    <w:rsid w:val="00526380"/>
    <w:rsid w:val="005313BD"/>
    <w:rsid w:val="00534CCC"/>
    <w:rsid w:val="005425BB"/>
    <w:rsid w:val="00543357"/>
    <w:rsid w:val="00553F5A"/>
    <w:rsid w:val="0056403E"/>
    <w:rsid w:val="005845CC"/>
    <w:rsid w:val="0058679D"/>
    <w:rsid w:val="00592108"/>
    <w:rsid w:val="00595D6E"/>
    <w:rsid w:val="00597F6E"/>
    <w:rsid w:val="00597FCB"/>
    <w:rsid w:val="005A09BB"/>
    <w:rsid w:val="005B02E3"/>
    <w:rsid w:val="005C0161"/>
    <w:rsid w:val="005D1E60"/>
    <w:rsid w:val="00600434"/>
    <w:rsid w:val="006058DE"/>
    <w:rsid w:val="006202C3"/>
    <w:rsid w:val="00632119"/>
    <w:rsid w:val="0065014C"/>
    <w:rsid w:val="00663C98"/>
    <w:rsid w:val="00667010"/>
    <w:rsid w:val="006748AB"/>
    <w:rsid w:val="00686748"/>
    <w:rsid w:val="0069040E"/>
    <w:rsid w:val="006949D9"/>
    <w:rsid w:val="00695801"/>
    <w:rsid w:val="006A69FD"/>
    <w:rsid w:val="006A6AC6"/>
    <w:rsid w:val="006B4628"/>
    <w:rsid w:val="006B71A8"/>
    <w:rsid w:val="006C1984"/>
    <w:rsid w:val="006C2F8C"/>
    <w:rsid w:val="006C3E55"/>
    <w:rsid w:val="006C5D68"/>
    <w:rsid w:val="006D3A0C"/>
    <w:rsid w:val="006D6439"/>
    <w:rsid w:val="006F6064"/>
    <w:rsid w:val="00704D83"/>
    <w:rsid w:val="00710803"/>
    <w:rsid w:val="007423BB"/>
    <w:rsid w:val="00762CC0"/>
    <w:rsid w:val="00764F4D"/>
    <w:rsid w:val="0077080F"/>
    <w:rsid w:val="00784E1A"/>
    <w:rsid w:val="00791BF7"/>
    <w:rsid w:val="00793E26"/>
    <w:rsid w:val="007959DD"/>
    <w:rsid w:val="007959E3"/>
    <w:rsid w:val="007A3556"/>
    <w:rsid w:val="007B0BCF"/>
    <w:rsid w:val="007B5402"/>
    <w:rsid w:val="007C2DC5"/>
    <w:rsid w:val="007E44C9"/>
    <w:rsid w:val="007E6653"/>
    <w:rsid w:val="007F2C03"/>
    <w:rsid w:val="007F3087"/>
    <w:rsid w:val="0081118D"/>
    <w:rsid w:val="008225E2"/>
    <w:rsid w:val="0082352D"/>
    <w:rsid w:val="00851CF8"/>
    <w:rsid w:val="0086083C"/>
    <w:rsid w:val="008662F4"/>
    <w:rsid w:val="008709D7"/>
    <w:rsid w:val="00872A65"/>
    <w:rsid w:val="00872DF6"/>
    <w:rsid w:val="00877AAA"/>
    <w:rsid w:val="00882427"/>
    <w:rsid w:val="0088257A"/>
    <w:rsid w:val="00882C8F"/>
    <w:rsid w:val="00885C9A"/>
    <w:rsid w:val="00887AD1"/>
    <w:rsid w:val="00893133"/>
    <w:rsid w:val="00895FB0"/>
    <w:rsid w:val="00897C73"/>
    <w:rsid w:val="008A015D"/>
    <w:rsid w:val="008B4114"/>
    <w:rsid w:val="008B70CC"/>
    <w:rsid w:val="008C6247"/>
    <w:rsid w:val="008D4459"/>
    <w:rsid w:val="008D6C69"/>
    <w:rsid w:val="008D75D4"/>
    <w:rsid w:val="008E074E"/>
    <w:rsid w:val="008E1FBB"/>
    <w:rsid w:val="008E64FC"/>
    <w:rsid w:val="008F4E2F"/>
    <w:rsid w:val="00904C3E"/>
    <w:rsid w:val="00905E27"/>
    <w:rsid w:val="009102C6"/>
    <w:rsid w:val="00922A05"/>
    <w:rsid w:val="00930AD7"/>
    <w:rsid w:val="0093291F"/>
    <w:rsid w:val="0093712D"/>
    <w:rsid w:val="00941492"/>
    <w:rsid w:val="00950913"/>
    <w:rsid w:val="00960AA5"/>
    <w:rsid w:val="00975EDB"/>
    <w:rsid w:val="009836BF"/>
    <w:rsid w:val="009858F0"/>
    <w:rsid w:val="009B3F9F"/>
    <w:rsid w:val="009F1C01"/>
    <w:rsid w:val="00A00A60"/>
    <w:rsid w:val="00A06E1A"/>
    <w:rsid w:val="00A17AA7"/>
    <w:rsid w:val="00A5397E"/>
    <w:rsid w:val="00A62137"/>
    <w:rsid w:val="00A64007"/>
    <w:rsid w:val="00A679E4"/>
    <w:rsid w:val="00A931E2"/>
    <w:rsid w:val="00AA23A1"/>
    <w:rsid w:val="00AA43BF"/>
    <w:rsid w:val="00AC0F06"/>
    <w:rsid w:val="00AC138E"/>
    <w:rsid w:val="00AD3153"/>
    <w:rsid w:val="00AD5151"/>
    <w:rsid w:val="00AD6835"/>
    <w:rsid w:val="00AE116B"/>
    <w:rsid w:val="00AE7FCA"/>
    <w:rsid w:val="00AF6750"/>
    <w:rsid w:val="00B11ADD"/>
    <w:rsid w:val="00B15CA1"/>
    <w:rsid w:val="00B2081B"/>
    <w:rsid w:val="00B35781"/>
    <w:rsid w:val="00B3708A"/>
    <w:rsid w:val="00B466BE"/>
    <w:rsid w:val="00B50BC0"/>
    <w:rsid w:val="00B609F2"/>
    <w:rsid w:val="00B63789"/>
    <w:rsid w:val="00B6533E"/>
    <w:rsid w:val="00B65CCF"/>
    <w:rsid w:val="00B8465C"/>
    <w:rsid w:val="00B9050E"/>
    <w:rsid w:val="00BB0A67"/>
    <w:rsid w:val="00BC1221"/>
    <w:rsid w:val="00BC1655"/>
    <w:rsid w:val="00BC6CF6"/>
    <w:rsid w:val="00BC7F61"/>
    <w:rsid w:val="00BF24B0"/>
    <w:rsid w:val="00BF462D"/>
    <w:rsid w:val="00BF76AC"/>
    <w:rsid w:val="00C00E69"/>
    <w:rsid w:val="00C01166"/>
    <w:rsid w:val="00C312F8"/>
    <w:rsid w:val="00C36302"/>
    <w:rsid w:val="00C46A1B"/>
    <w:rsid w:val="00C51A92"/>
    <w:rsid w:val="00C52595"/>
    <w:rsid w:val="00C534AC"/>
    <w:rsid w:val="00C57DAE"/>
    <w:rsid w:val="00C71F99"/>
    <w:rsid w:val="00C842C9"/>
    <w:rsid w:val="00C94615"/>
    <w:rsid w:val="00C95FB2"/>
    <w:rsid w:val="00C96107"/>
    <w:rsid w:val="00CA28B2"/>
    <w:rsid w:val="00CA3313"/>
    <w:rsid w:val="00CA5DC5"/>
    <w:rsid w:val="00CB29A1"/>
    <w:rsid w:val="00CB60B0"/>
    <w:rsid w:val="00CC43AA"/>
    <w:rsid w:val="00CC6D37"/>
    <w:rsid w:val="00CD185B"/>
    <w:rsid w:val="00CE3355"/>
    <w:rsid w:val="00CE7D7A"/>
    <w:rsid w:val="00CF6584"/>
    <w:rsid w:val="00D00DE3"/>
    <w:rsid w:val="00D02813"/>
    <w:rsid w:val="00D03232"/>
    <w:rsid w:val="00D0796A"/>
    <w:rsid w:val="00D17B9E"/>
    <w:rsid w:val="00D20936"/>
    <w:rsid w:val="00D211B7"/>
    <w:rsid w:val="00D21EFF"/>
    <w:rsid w:val="00D2422D"/>
    <w:rsid w:val="00D32C06"/>
    <w:rsid w:val="00D33EAD"/>
    <w:rsid w:val="00D53F34"/>
    <w:rsid w:val="00D55DB2"/>
    <w:rsid w:val="00D57253"/>
    <w:rsid w:val="00D615C4"/>
    <w:rsid w:val="00D73D13"/>
    <w:rsid w:val="00D9183B"/>
    <w:rsid w:val="00D92165"/>
    <w:rsid w:val="00DC4B74"/>
    <w:rsid w:val="00DD3A5C"/>
    <w:rsid w:val="00DE4784"/>
    <w:rsid w:val="00E03181"/>
    <w:rsid w:val="00E07402"/>
    <w:rsid w:val="00E21F4D"/>
    <w:rsid w:val="00E4564E"/>
    <w:rsid w:val="00E467F0"/>
    <w:rsid w:val="00E72266"/>
    <w:rsid w:val="00E72B7E"/>
    <w:rsid w:val="00E838A1"/>
    <w:rsid w:val="00E8742D"/>
    <w:rsid w:val="00E971AE"/>
    <w:rsid w:val="00EB79BA"/>
    <w:rsid w:val="00ED1B72"/>
    <w:rsid w:val="00ED37F4"/>
    <w:rsid w:val="00ED7961"/>
    <w:rsid w:val="00ED79ED"/>
    <w:rsid w:val="00EE20EE"/>
    <w:rsid w:val="00EE4C20"/>
    <w:rsid w:val="00EE53ED"/>
    <w:rsid w:val="00EE7A9D"/>
    <w:rsid w:val="00EF0EB3"/>
    <w:rsid w:val="00EF0FA5"/>
    <w:rsid w:val="00EF3699"/>
    <w:rsid w:val="00F009DC"/>
    <w:rsid w:val="00F062B3"/>
    <w:rsid w:val="00F10723"/>
    <w:rsid w:val="00F1303B"/>
    <w:rsid w:val="00F160DC"/>
    <w:rsid w:val="00F25DB5"/>
    <w:rsid w:val="00F322BD"/>
    <w:rsid w:val="00F361F5"/>
    <w:rsid w:val="00F37F19"/>
    <w:rsid w:val="00F86BD7"/>
    <w:rsid w:val="00F944E5"/>
    <w:rsid w:val="00FB7A7C"/>
    <w:rsid w:val="00FC586D"/>
    <w:rsid w:val="00FC7C4F"/>
    <w:rsid w:val="00FD0481"/>
    <w:rsid w:val="00FD0887"/>
    <w:rsid w:val="00FD1F1F"/>
    <w:rsid w:val="00FE4782"/>
    <w:rsid w:val="00FF622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FCEA5"/>
  <w15:docId w15:val="{A0B6D01E-3F83-4326-ADCE-BD07AED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9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spacing w:line="380" w:lineRule="exact"/>
      <w:ind w:leftChars="100" w:left="210" w:firstLineChars="103" w:firstLine="227"/>
    </w:pPr>
    <w:rPr>
      <w:sz w:val="22"/>
      <w:szCs w:val="22"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a5">
    <w:name w:val="Block Text"/>
    <w:basedOn w:val="a"/>
    <w:pPr>
      <w:spacing w:line="240" w:lineRule="exact"/>
      <w:ind w:left="113" w:right="113"/>
      <w:jc w:val="center"/>
    </w:pPr>
    <w:rPr>
      <w:rFonts w:ascii="ＭＳ ゴシック" w:eastAsia="ＭＳ ゴシック" w:hAnsi="ＭＳ ゴシック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97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11308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1308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13088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semiHidden/>
    <w:unhideWhenUsed/>
    <w:rsid w:val="00113088"/>
    <w:rPr>
      <w:b/>
      <w:bCs/>
    </w:rPr>
  </w:style>
  <w:style w:type="character" w:customStyle="1" w:styleId="ae">
    <w:name w:val="コメント内容 (文字)"/>
    <w:basedOn w:val="ac"/>
    <w:link w:val="ad"/>
    <w:semiHidden/>
    <w:rsid w:val="00113088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3D2E-8ECC-4995-AD11-3792DE68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足立区人と環境にやさしい公共建築物整備基準</vt:lpstr>
      <vt:lpstr>足立区人と環境にやさしい公共建築物整備基準</vt:lpstr>
    </vt:vector>
  </TitlesOfParts>
  <Company>足立区役所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足立区人と環境にやさしい公共建築物整備基準</dc:title>
  <dc:creator>user01</dc:creator>
  <cp:lastModifiedBy>池田　雅行(足立区)</cp:lastModifiedBy>
  <cp:revision>2</cp:revision>
  <cp:lastPrinted>2017-02-15T06:08:00Z</cp:lastPrinted>
  <dcterms:created xsi:type="dcterms:W3CDTF">2017-02-15T06:25:00Z</dcterms:created>
  <dcterms:modified xsi:type="dcterms:W3CDTF">2017-02-15T06:25:00Z</dcterms:modified>
</cp:coreProperties>
</file>